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F6456B" w14:textId="77777777" w:rsidR="00066D5C" w:rsidRDefault="00000000">
      <w:pPr>
        <w:jc w:val="center"/>
        <w:rPr>
          <w:rFonts w:ascii="Arial" w:eastAsia="Arial" w:hAnsi="Arial" w:cs="Arial"/>
          <w:b/>
          <w:bCs/>
          <w:sz w:val="28"/>
          <w:szCs w:val="28"/>
        </w:rPr>
      </w:pPr>
      <w:r>
        <w:rPr>
          <w:rFonts w:ascii="Arial" w:eastAsia="Arial" w:hAnsi="Arial" w:cs="Arial"/>
          <w:b/>
          <w:bCs/>
          <w:sz w:val="28"/>
          <w:szCs w:val="28"/>
        </w:rPr>
        <w:t>Call for Papers</w:t>
      </w:r>
    </w:p>
    <w:p w14:paraId="2AD1F104" w14:textId="77777777" w:rsidR="00066D5C" w:rsidRDefault="00000000">
      <w:pPr>
        <w:jc w:val="center"/>
        <w:rPr>
          <w:rFonts w:ascii="Arial" w:eastAsia="Arial" w:hAnsi="Arial" w:cs="Arial"/>
          <w:b/>
          <w:bCs/>
          <w:sz w:val="28"/>
          <w:szCs w:val="28"/>
        </w:rPr>
      </w:pPr>
      <w:r>
        <w:rPr>
          <w:rFonts w:ascii="Arial" w:eastAsia="Arial" w:hAnsi="Arial" w:cs="Arial"/>
          <w:b/>
          <w:bCs/>
          <w:sz w:val="28"/>
          <w:szCs w:val="28"/>
        </w:rPr>
        <w:t>Writing in Motion: Writing Research Across Borders</w:t>
      </w:r>
    </w:p>
    <w:p w14:paraId="5317FA72" w14:textId="77777777" w:rsidR="00066D5C" w:rsidRDefault="00066D5C">
      <w:pPr>
        <w:jc w:val="center"/>
        <w:rPr>
          <w:rFonts w:ascii="Arial" w:eastAsia="Arial" w:hAnsi="Arial" w:cs="Arial"/>
          <w:b/>
          <w:bCs/>
          <w:sz w:val="28"/>
          <w:szCs w:val="28"/>
        </w:rPr>
      </w:pPr>
    </w:p>
    <w:p w14:paraId="59EFD901" w14:textId="77777777" w:rsidR="00066D5C" w:rsidRDefault="00066D5C">
      <w:pPr>
        <w:jc w:val="center"/>
        <w:rPr>
          <w:rFonts w:ascii="Arial" w:eastAsia="Arial" w:hAnsi="Arial" w:cs="Arial"/>
          <w:b/>
          <w:bCs/>
          <w:sz w:val="28"/>
          <w:szCs w:val="28"/>
        </w:rPr>
      </w:pPr>
    </w:p>
    <w:p w14:paraId="6164E349" w14:textId="77777777" w:rsidR="00066D5C" w:rsidRDefault="00000000">
      <w:pPr>
        <w:jc w:val="center"/>
        <w:rPr>
          <w:rFonts w:ascii="Arial" w:eastAsia="Arial" w:hAnsi="Arial" w:cs="Arial"/>
          <w:b/>
          <w:bCs/>
          <w:sz w:val="28"/>
          <w:szCs w:val="28"/>
        </w:rPr>
      </w:pPr>
      <w:r>
        <w:rPr>
          <w:rFonts w:ascii="Arial" w:eastAsia="Arial" w:hAnsi="Arial" w:cs="Arial"/>
          <w:b/>
          <w:bCs/>
          <w:noProof/>
          <w:sz w:val="28"/>
          <w:szCs w:val="28"/>
        </w:rPr>
        <w:drawing>
          <wp:inline distT="114300" distB="114300" distL="114300" distR="114300" wp14:anchorId="414D1E18" wp14:editId="46884587">
            <wp:extent cx="5731200" cy="2120900"/>
            <wp:effectExtent l="0" t="0" r="0" b="0"/>
            <wp:docPr id="8582607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731200" cy="2120900"/>
                    </a:xfrm>
                    <a:prstGeom prst="rect">
                      <a:avLst/>
                    </a:prstGeom>
                    <a:ln/>
                  </pic:spPr>
                </pic:pic>
              </a:graphicData>
            </a:graphic>
          </wp:inline>
        </w:drawing>
      </w:r>
    </w:p>
    <w:p w14:paraId="7670653F" w14:textId="77777777" w:rsidR="00066D5C" w:rsidRDefault="00066D5C">
      <w:pPr>
        <w:rPr>
          <w:rFonts w:ascii="Arial" w:eastAsia="Arial" w:hAnsi="Arial" w:cs="Arial"/>
          <w:b/>
          <w:bCs/>
          <w:sz w:val="28"/>
          <w:szCs w:val="28"/>
        </w:rPr>
      </w:pPr>
    </w:p>
    <w:p w14:paraId="50E91A25" w14:textId="77777777" w:rsidR="00066D5C" w:rsidRDefault="00066D5C">
      <w:pPr>
        <w:jc w:val="center"/>
        <w:rPr>
          <w:rFonts w:ascii="Arial" w:eastAsia="Arial" w:hAnsi="Arial" w:cs="Arial"/>
          <w:b/>
          <w:bCs/>
          <w:sz w:val="28"/>
          <w:szCs w:val="28"/>
        </w:rPr>
      </w:pPr>
    </w:p>
    <w:p w14:paraId="199CEBD0" w14:textId="77777777" w:rsidR="00066D5C" w:rsidRDefault="00000000">
      <w:pPr>
        <w:jc w:val="center"/>
        <w:rPr>
          <w:rFonts w:ascii="Arial" w:eastAsia="Arial" w:hAnsi="Arial" w:cs="Arial"/>
          <w:b/>
          <w:bCs/>
        </w:rPr>
      </w:pPr>
      <w:r>
        <w:rPr>
          <w:rFonts w:ascii="Arial" w:eastAsia="Arial" w:hAnsi="Arial" w:cs="Arial"/>
          <w:b/>
          <w:bCs/>
        </w:rPr>
        <w:t>Writing Research Across Borders Conference, 2026</w:t>
      </w:r>
    </w:p>
    <w:p w14:paraId="340F5365" w14:textId="77777777" w:rsidR="00066D5C" w:rsidRDefault="00000000">
      <w:pPr>
        <w:jc w:val="center"/>
        <w:rPr>
          <w:rFonts w:ascii="Arial" w:eastAsia="Arial" w:hAnsi="Arial" w:cs="Arial"/>
          <w:b/>
          <w:bCs/>
        </w:rPr>
      </w:pPr>
      <w:r>
        <w:rPr>
          <w:rFonts w:ascii="Arial" w:eastAsia="Arial" w:hAnsi="Arial" w:cs="Arial"/>
          <w:b/>
          <w:bCs/>
        </w:rPr>
        <w:t>University of Sydney, Camperdown Campus</w:t>
      </w:r>
    </w:p>
    <w:p w14:paraId="4AFF1272" w14:textId="77777777" w:rsidR="00066D5C" w:rsidRDefault="00000000">
      <w:pPr>
        <w:jc w:val="center"/>
        <w:rPr>
          <w:rFonts w:ascii="Arial" w:eastAsia="Arial" w:hAnsi="Arial" w:cs="Arial"/>
        </w:rPr>
      </w:pPr>
      <w:r>
        <w:rPr>
          <w:rFonts w:ascii="Arial" w:eastAsia="Arial" w:hAnsi="Arial" w:cs="Arial"/>
          <w:b/>
          <w:bCs/>
        </w:rPr>
        <w:t>Sydney, Australia</w:t>
      </w:r>
      <w:r>
        <w:rPr>
          <w:rFonts w:ascii="Arial" w:eastAsia="Arial" w:hAnsi="Arial" w:cs="Arial"/>
        </w:rPr>
        <w:t xml:space="preserve"> </w:t>
      </w:r>
    </w:p>
    <w:p w14:paraId="36738791" w14:textId="77777777" w:rsidR="00066D5C" w:rsidRDefault="00000000">
      <w:pPr>
        <w:jc w:val="center"/>
        <w:rPr>
          <w:rFonts w:ascii="Arial" w:eastAsia="Arial" w:hAnsi="Arial" w:cs="Arial"/>
          <w:b/>
          <w:bCs/>
        </w:rPr>
      </w:pPr>
      <w:r>
        <w:rPr>
          <w:rFonts w:ascii="Arial" w:eastAsia="Arial" w:hAnsi="Arial" w:cs="Arial"/>
          <w:b/>
          <w:bCs/>
        </w:rPr>
        <w:t>30 November – 3 December 2026</w:t>
      </w:r>
    </w:p>
    <w:p w14:paraId="09248B96" w14:textId="77777777" w:rsidR="00066D5C" w:rsidRDefault="00000000">
      <w:pPr>
        <w:jc w:val="center"/>
        <w:rPr>
          <w:rFonts w:ascii="Arial" w:eastAsia="Arial" w:hAnsi="Arial" w:cs="Arial"/>
          <w:b/>
          <w:bCs/>
        </w:rPr>
      </w:pPr>
      <w:hyperlink r:id="rId7">
        <w:r>
          <w:rPr>
            <w:rFonts w:ascii="Arial" w:eastAsia="Arial" w:hAnsi="Arial" w:cs="Arial"/>
            <w:b/>
            <w:bCs/>
            <w:color w:val="1155CC"/>
            <w:u w:val="single"/>
          </w:rPr>
          <w:t>www.wrab2026.com</w:t>
        </w:r>
      </w:hyperlink>
      <w:r>
        <w:rPr>
          <w:rFonts w:ascii="Arial" w:eastAsia="Arial" w:hAnsi="Arial" w:cs="Arial"/>
          <w:b/>
          <w:bCs/>
        </w:rPr>
        <w:t xml:space="preserve"> </w:t>
      </w:r>
    </w:p>
    <w:p w14:paraId="5A0BBF06" w14:textId="77777777" w:rsidR="00066D5C" w:rsidRDefault="00066D5C">
      <w:pPr>
        <w:rPr>
          <w:rFonts w:ascii="Arial" w:eastAsia="Arial" w:hAnsi="Arial" w:cs="Arial"/>
        </w:rPr>
      </w:pPr>
    </w:p>
    <w:p w14:paraId="0FAC389A" w14:textId="77777777" w:rsidR="00066D5C" w:rsidRDefault="00000000">
      <w:pPr>
        <w:rPr>
          <w:rFonts w:ascii="Arial" w:eastAsia="Arial" w:hAnsi="Arial" w:cs="Arial"/>
        </w:rPr>
      </w:pPr>
      <w:r>
        <w:rPr>
          <w:rFonts w:ascii="Arial" w:eastAsia="Arial" w:hAnsi="Arial" w:cs="Arial"/>
        </w:rPr>
        <w:t>Writing moves. It carries ideas across languages, disciplines, and borders. It responds to technological shifts and political upheavals. It persuades, unsettles, and transforms. And writing research moves with it: tracking change, shaping practice, setting new ideas in motion.</w:t>
      </w:r>
    </w:p>
    <w:p w14:paraId="5D04233E" w14:textId="77777777" w:rsidR="00066D5C" w:rsidRDefault="00066D5C">
      <w:pPr>
        <w:rPr>
          <w:rFonts w:ascii="Arial" w:eastAsia="Arial" w:hAnsi="Arial" w:cs="Arial"/>
        </w:rPr>
      </w:pPr>
    </w:p>
    <w:p w14:paraId="02C8DD51" w14:textId="77777777" w:rsidR="00066D5C" w:rsidRDefault="00000000">
      <w:pPr>
        <w:rPr>
          <w:rFonts w:ascii="Arial" w:eastAsia="Arial" w:hAnsi="Arial" w:cs="Arial"/>
        </w:rPr>
      </w:pPr>
      <w:r>
        <w:rPr>
          <w:rFonts w:ascii="Arial" w:eastAsia="Arial" w:hAnsi="Arial" w:cs="Arial"/>
        </w:rPr>
        <w:t xml:space="preserve">WRAB 2026 will be hosted by the University of Sydney's School of Art, Communication, and English in partnership with the International Society for the Advancement of Writing Research (ISAWR). We invite researchers, teachers, practitioners, research students and writing centre staff to Sydney to explore writing in motion through its many modalities. As generative AI reshapes how we compose and teach, as cultural rhetorics challenge inherited frameworks, and as the politics of international education intensify, writing researchers face urgent questions about the writing we investigate, the theories we draw on and develop, the methods we use to study writing, and the audiences our research serves. </w:t>
      </w:r>
    </w:p>
    <w:p w14:paraId="6EDF0D18" w14:textId="77777777" w:rsidR="00066D5C" w:rsidRDefault="00066D5C">
      <w:pPr>
        <w:rPr>
          <w:rFonts w:ascii="Arial" w:eastAsia="Arial" w:hAnsi="Arial" w:cs="Arial"/>
        </w:rPr>
      </w:pPr>
    </w:p>
    <w:p w14:paraId="7E06330D" w14:textId="77777777" w:rsidR="00066D5C" w:rsidRDefault="00000000">
      <w:pPr>
        <w:rPr>
          <w:rFonts w:ascii="Arial" w:eastAsia="Arial" w:hAnsi="Arial" w:cs="Arial"/>
        </w:rPr>
      </w:pPr>
      <w:r>
        <w:rPr>
          <w:rFonts w:ascii="Arial" w:eastAsia="Arial" w:hAnsi="Arial" w:cs="Arial"/>
        </w:rPr>
        <w:t>This conference asks: How does writing research respond to change? How might research move people—students, teachers, policymakers, publics—toward more thoughtful engagement with writing in all its forms? We invite you to reflect on these questions, share your research, and connect with a global community of writing researchers and educators.</w:t>
      </w:r>
    </w:p>
    <w:p w14:paraId="4EE168B1" w14:textId="77777777" w:rsidR="00066D5C" w:rsidRDefault="00066D5C">
      <w:pPr>
        <w:rPr>
          <w:rFonts w:ascii="Arial" w:eastAsia="Arial" w:hAnsi="Arial" w:cs="Arial"/>
        </w:rPr>
      </w:pPr>
    </w:p>
    <w:p w14:paraId="387A2897" w14:textId="77777777" w:rsidR="00066D5C" w:rsidRDefault="00066D5C">
      <w:pPr>
        <w:rPr>
          <w:rFonts w:ascii="Arial" w:eastAsia="Arial" w:hAnsi="Arial" w:cs="Arial"/>
          <w:b/>
          <w:bCs/>
          <w:sz w:val="28"/>
          <w:szCs w:val="28"/>
        </w:rPr>
      </w:pPr>
    </w:p>
    <w:p w14:paraId="4173FDF9" w14:textId="77777777" w:rsidR="00066D5C" w:rsidRDefault="00000000">
      <w:pPr>
        <w:rPr>
          <w:rFonts w:ascii="Arial" w:eastAsia="Arial" w:hAnsi="Arial" w:cs="Arial"/>
          <w:b/>
          <w:bCs/>
          <w:sz w:val="28"/>
          <w:szCs w:val="28"/>
        </w:rPr>
      </w:pPr>
      <w:r>
        <w:rPr>
          <w:rFonts w:ascii="Arial" w:eastAsia="Arial" w:hAnsi="Arial" w:cs="Arial"/>
          <w:b/>
          <w:bCs/>
          <w:sz w:val="28"/>
          <w:szCs w:val="28"/>
        </w:rPr>
        <w:t>Conference Themes and Suggested Topics</w:t>
      </w:r>
    </w:p>
    <w:p w14:paraId="19E3207C" w14:textId="77777777" w:rsidR="00066D5C" w:rsidRDefault="00000000">
      <w:pPr>
        <w:rPr>
          <w:rFonts w:ascii="Arial" w:eastAsia="Arial" w:hAnsi="Arial" w:cs="Arial"/>
        </w:rPr>
      </w:pPr>
      <w:r>
        <w:rPr>
          <w:rFonts w:ascii="Arial" w:eastAsia="Arial" w:hAnsi="Arial" w:cs="Arial"/>
        </w:rPr>
        <w:t>We welcome multimodal proposals addressing, but not limited to, the following:</w:t>
      </w:r>
    </w:p>
    <w:p w14:paraId="39620585" w14:textId="77777777" w:rsidR="00066D5C" w:rsidRDefault="00066D5C">
      <w:pPr>
        <w:rPr>
          <w:rFonts w:ascii="Arial" w:eastAsia="Arial" w:hAnsi="Arial" w:cs="Arial"/>
          <w:b/>
          <w:bCs/>
        </w:rPr>
      </w:pPr>
    </w:p>
    <w:p w14:paraId="007A9C4E" w14:textId="77777777" w:rsidR="00066D5C" w:rsidRDefault="00000000">
      <w:pPr>
        <w:rPr>
          <w:rFonts w:ascii="Arial" w:eastAsia="Arial" w:hAnsi="Arial" w:cs="Arial"/>
        </w:rPr>
      </w:pPr>
      <w:r>
        <w:rPr>
          <w:rFonts w:ascii="Arial" w:eastAsia="Arial" w:hAnsi="Arial" w:cs="Arial"/>
          <w:b/>
          <w:bCs/>
        </w:rPr>
        <w:lastRenderedPageBreak/>
        <w:t>Histories and Futures of Writing Research</w:t>
      </w:r>
    </w:p>
    <w:p w14:paraId="7ACB1FC5" w14:textId="77777777" w:rsidR="00066D5C" w:rsidRDefault="00000000">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Methodological innovation and interdisciplinary approaches to professional, academic, technical, creative writing research and education</w:t>
      </w:r>
    </w:p>
    <w:p w14:paraId="5D8EB4B0" w14:textId="77777777" w:rsidR="00066D5C" w:rsidRDefault="00000000">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The changing institutional landscape for writing research</w:t>
      </w:r>
    </w:p>
    <w:p w14:paraId="46B6AD5D" w14:textId="77777777" w:rsidR="00066D5C" w:rsidRDefault="00000000">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Historical perspectives on writing instruction research</w:t>
      </w:r>
    </w:p>
    <w:p w14:paraId="69259210" w14:textId="77777777" w:rsidR="00066D5C" w:rsidRDefault="00000000">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Futures of writing research: speculation, scenario, and foresight</w:t>
      </w:r>
    </w:p>
    <w:p w14:paraId="61616260" w14:textId="77777777" w:rsidR="00066D5C" w:rsidRDefault="00066D5C">
      <w:pPr>
        <w:rPr>
          <w:rFonts w:ascii="Arial" w:eastAsia="Arial" w:hAnsi="Arial" w:cs="Arial"/>
          <w:b/>
          <w:bCs/>
        </w:rPr>
      </w:pPr>
    </w:p>
    <w:p w14:paraId="7007F2A9" w14:textId="77777777" w:rsidR="00066D5C" w:rsidRDefault="00000000">
      <w:pPr>
        <w:rPr>
          <w:rFonts w:ascii="Arial" w:eastAsia="Arial" w:hAnsi="Arial" w:cs="Arial"/>
        </w:rPr>
      </w:pPr>
      <w:r>
        <w:rPr>
          <w:rFonts w:ascii="Arial" w:eastAsia="Arial" w:hAnsi="Arial" w:cs="Arial"/>
          <w:b/>
          <w:bCs/>
        </w:rPr>
        <w:t>Cultural Rhetorics and Decolonising Writing Research</w:t>
      </w:r>
    </w:p>
    <w:p w14:paraId="7BF52BE9" w14:textId="77777777" w:rsidR="00066D5C" w:rsidRDefault="00000000">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Indigenous research, knowledges, and approaches to writing and rhetoric</w:t>
      </w:r>
    </w:p>
    <w:p w14:paraId="07A286DA" w14:textId="77777777" w:rsidR="00066D5C" w:rsidRDefault="00000000">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Challenging imperial and colonial research frameworks in writing studies</w:t>
      </w:r>
    </w:p>
    <w:p w14:paraId="011C20C2" w14:textId="77777777" w:rsidR="00066D5C" w:rsidRDefault="00000000">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Culturally sustaining research-led pedagogies and research methodologies</w:t>
      </w:r>
    </w:p>
    <w:p w14:paraId="2F215180" w14:textId="77777777" w:rsidR="00066D5C" w:rsidRDefault="00000000">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Writing research that centres First Nations, Global South, and other marginalised perspectives</w:t>
      </w:r>
    </w:p>
    <w:p w14:paraId="2C40569F" w14:textId="77777777" w:rsidR="00066D5C" w:rsidRDefault="00066D5C">
      <w:pPr>
        <w:ind w:left="360"/>
        <w:rPr>
          <w:rFonts w:ascii="Arial" w:eastAsia="Arial" w:hAnsi="Arial" w:cs="Arial"/>
        </w:rPr>
      </w:pPr>
    </w:p>
    <w:p w14:paraId="3B47DCCE" w14:textId="77777777" w:rsidR="00066D5C" w:rsidRDefault="00000000">
      <w:pPr>
        <w:rPr>
          <w:rFonts w:ascii="Arial" w:eastAsia="Arial" w:hAnsi="Arial" w:cs="Arial"/>
        </w:rPr>
      </w:pPr>
      <w:r>
        <w:rPr>
          <w:rFonts w:ascii="Arial" w:eastAsia="Arial" w:hAnsi="Arial" w:cs="Arial"/>
          <w:b/>
          <w:bCs/>
        </w:rPr>
        <w:t>Language, Mobility, and Multilingual Writing</w:t>
      </w:r>
    </w:p>
    <w:p w14:paraId="4EEE8E29" w14:textId="77777777" w:rsidR="00066D5C" w:rsidRDefault="00000000">
      <w:pPr>
        <w:pBdr>
          <w:top w:val="nil"/>
          <w:left w:val="nil"/>
          <w:bottom w:val="nil"/>
          <w:right w:val="nil"/>
          <w:between w:val="nil"/>
        </w:pBdr>
        <w:rPr>
          <w:rFonts w:ascii="Arial" w:eastAsia="Arial" w:hAnsi="Arial" w:cs="Arial"/>
        </w:rPr>
      </w:pPr>
      <w:r>
        <w:rPr>
          <w:rFonts w:ascii="Arial" w:eastAsia="Arial" w:hAnsi="Arial" w:cs="Arial"/>
        </w:rPr>
        <w:t>Research on:</w:t>
      </w:r>
    </w:p>
    <w:p w14:paraId="30D0896C" w14:textId="77777777" w:rsidR="00066D5C" w:rsidRDefault="00000000">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Writing development for international and multilingual students</w:t>
      </w:r>
    </w:p>
    <w:p w14:paraId="4B34B57F" w14:textId="77777777" w:rsidR="00066D5C" w:rsidRDefault="00000000">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rPr>
        <w:t>T</w:t>
      </w:r>
      <w:r>
        <w:rPr>
          <w:rFonts w:ascii="Arial" w:eastAsia="Arial" w:hAnsi="Arial" w:cs="Arial"/>
          <w:color w:val="000000"/>
        </w:rPr>
        <w:t>he politics of English and language diversity in higher education</w:t>
      </w:r>
    </w:p>
    <w:p w14:paraId="4023AAFE" w14:textId="77777777" w:rsidR="00066D5C" w:rsidRDefault="00000000">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Translingual approaches to writing pedagogy</w:t>
      </w:r>
    </w:p>
    <w:p w14:paraId="3363B4A8" w14:textId="77777777" w:rsidR="00066D5C" w:rsidRDefault="00000000">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rPr>
        <w:t>L</w:t>
      </w:r>
      <w:r>
        <w:rPr>
          <w:rFonts w:ascii="Arial" w:eastAsia="Arial" w:hAnsi="Arial" w:cs="Arial"/>
          <w:color w:val="000000"/>
        </w:rPr>
        <w:t>anguage support, academic literacies, and institutional responses to student diversity</w:t>
      </w:r>
    </w:p>
    <w:p w14:paraId="13165778" w14:textId="77777777" w:rsidR="00066D5C" w:rsidRDefault="00000000">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rPr>
        <w:t>M</w:t>
      </w:r>
      <w:r>
        <w:rPr>
          <w:rFonts w:ascii="Arial" w:eastAsia="Arial" w:hAnsi="Arial" w:cs="Arial"/>
          <w:color w:val="000000"/>
        </w:rPr>
        <w:t>ultimodal writing</w:t>
      </w:r>
    </w:p>
    <w:p w14:paraId="5B26402D" w14:textId="77777777" w:rsidR="00066D5C" w:rsidRDefault="00066D5C">
      <w:pPr>
        <w:rPr>
          <w:rFonts w:ascii="Arial" w:eastAsia="Arial" w:hAnsi="Arial" w:cs="Arial"/>
        </w:rPr>
      </w:pPr>
    </w:p>
    <w:p w14:paraId="6578F748" w14:textId="77777777" w:rsidR="00066D5C" w:rsidRDefault="00000000">
      <w:pPr>
        <w:rPr>
          <w:rFonts w:ascii="Arial" w:eastAsia="Arial" w:hAnsi="Arial" w:cs="Arial"/>
        </w:rPr>
      </w:pPr>
      <w:r>
        <w:rPr>
          <w:rFonts w:ascii="Arial" w:eastAsia="Arial" w:hAnsi="Arial" w:cs="Arial"/>
          <w:b/>
          <w:bCs/>
        </w:rPr>
        <w:t>Writing and Generative AI</w:t>
      </w:r>
    </w:p>
    <w:p w14:paraId="6CB36570" w14:textId="77777777" w:rsidR="00066D5C" w:rsidRDefault="00000000">
      <w:pPr>
        <w:pBdr>
          <w:top w:val="nil"/>
          <w:left w:val="nil"/>
          <w:bottom w:val="nil"/>
          <w:right w:val="nil"/>
          <w:between w:val="nil"/>
        </w:pBdr>
        <w:rPr>
          <w:rFonts w:ascii="Arial" w:eastAsia="Arial" w:hAnsi="Arial" w:cs="Arial"/>
        </w:rPr>
      </w:pPr>
      <w:r>
        <w:rPr>
          <w:rFonts w:ascii="Arial" w:eastAsia="Arial" w:hAnsi="Arial" w:cs="Arial"/>
          <w:color w:val="000000"/>
        </w:rPr>
        <w:t xml:space="preserve">Research on: </w:t>
      </w:r>
    </w:p>
    <w:p w14:paraId="39476330" w14:textId="77777777" w:rsidR="00066D5C" w:rsidRDefault="00000000">
      <w:pPr>
        <w:numPr>
          <w:ilvl w:val="0"/>
          <w:numId w:val="4"/>
        </w:numPr>
        <w:rPr>
          <w:rFonts w:ascii="Arial" w:eastAsia="Arial" w:hAnsi="Arial" w:cs="Arial"/>
        </w:rPr>
      </w:pPr>
      <w:r>
        <w:rPr>
          <w:rFonts w:ascii="Arial" w:eastAsia="Arial" w:hAnsi="Arial" w:cs="Arial"/>
        </w:rPr>
        <w:t>The impact of large language models on writing processes, pedagogy, and assessment</w:t>
      </w:r>
    </w:p>
    <w:p w14:paraId="02B4F8B1" w14:textId="77777777" w:rsidR="00066D5C" w:rsidRDefault="00000000">
      <w:pPr>
        <w:numPr>
          <w:ilvl w:val="0"/>
          <w:numId w:val="4"/>
        </w:numPr>
        <w:rPr>
          <w:rFonts w:ascii="Arial" w:eastAsia="Arial" w:hAnsi="Arial" w:cs="Arial"/>
        </w:rPr>
      </w:pPr>
      <w:r>
        <w:rPr>
          <w:rFonts w:ascii="Arial" w:eastAsia="Arial" w:hAnsi="Arial" w:cs="Arial"/>
          <w:color w:val="000000"/>
        </w:rPr>
        <w:t>AI literacy and critical approaches to automated writing tools</w:t>
      </w:r>
    </w:p>
    <w:p w14:paraId="73B54004" w14:textId="77777777" w:rsidR="00066D5C" w:rsidRDefault="00000000">
      <w:pPr>
        <w:numPr>
          <w:ilvl w:val="0"/>
          <w:numId w:val="4"/>
        </w:numPr>
        <w:rPr>
          <w:rFonts w:ascii="Arial" w:eastAsia="Arial" w:hAnsi="Arial" w:cs="Arial"/>
        </w:rPr>
      </w:pPr>
      <w:r>
        <w:rPr>
          <w:rFonts w:ascii="Arial" w:eastAsia="Arial" w:hAnsi="Arial" w:cs="Arial"/>
        </w:rPr>
        <w:t>W</w:t>
      </w:r>
      <w:r>
        <w:rPr>
          <w:rFonts w:ascii="Arial" w:eastAsia="Arial" w:hAnsi="Arial" w:cs="Arial"/>
          <w:color w:val="000000"/>
        </w:rPr>
        <w:t>riting in AI-mediated environments</w:t>
      </w:r>
    </w:p>
    <w:p w14:paraId="0B65CF9F" w14:textId="77777777" w:rsidR="00066D5C" w:rsidRDefault="00000000">
      <w:pPr>
        <w:numPr>
          <w:ilvl w:val="0"/>
          <w:numId w:val="4"/>
        </w:numPr>
        <w:rPr>
          <w:rFonts w:ascii="Arial" w:eastAsia="Arial" w:hAnsi="Arial" w:cs="Arial"/>
        </w:rPr>
      </w:pPr>
      <w:r>
        <w:rPr>
          <w:rFonts w:ascii="Arial" w:eastAsia="Arial" w:hAnsi="Arial" w:cs="Arial"/>
        </w:rPr>
        <w:t>E</w:t>
      </w:r>
      <w:r>
        <w:rPr>
          <w:rFonts w:ascii="Arial" w:eastAsia="Arial" w:hAnsi="Arial" w:cs="Arial"/>
          <w:color w:val="000000"/>
        </w:rPr>
        <w:t>thical and epistemological questions raised by generative text</w:t>
      </w:r>
    </w:p>
    <w:p w14:paraId="5BDABC09" w14:textId="77777777" w:rsidR="00066D5C" w:rsidRDefault="00066D5C">
      <w:pPr>
        <w:rPr>
          <w:rFonts w:ascii="Arial" w:eastAsia="Arial" w:hAnsi="Arial" w:cs="Arial"/>
        </w:rPr>
      </w:pPr>
    </w:p>
    <w:p w14:paraId="716C84BA" w14:textId="77777777" w:rsidR="00066D5C" w:rsidRDefault="00000000">
      <w:pPr>
        <w:rPr>
          <w:rFonts w:ascii="Arial" w:eastAsia="Arial" w:hAnsi="Arial" w:cs="Arial"/>
        </w:rPr>
      </w:pPr>
      <w:r>
        <w:rPr>
          <w:rFonts w:ascii="Arial" w:eastAsia="Arial" w:hAnsi="Arial" w:cs="Arial"/>
          <w:b/>
          <w:bCs/>
        </w:rPr>
        <w:t>Writing Support and Learning Across Contexts</w:t>
      </w:r>
    </w:p>
    <w:p w14:paraId="6B2CBD24" w14:textId="77777777" w:rsidR="00066D5C"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Research on</w:t>
      </w:r>
      <w:r>
        <w:rPr>
          <w:rFonts w:ascii="Arial" w:eastAsia="Arial" w:hAnsi="Arial" w:cs="Arial"/>
        </w:rPr>
        <w:t>:</w:t>
      </w:r>
    </w:p>
    <w:p w14:paraId="2E610BBC" w14:textId="77777777" w:rsidR="00066D5C" w:rsidRDefault="00000000">
      <w:pPr>
        <w:numPr>
          <w:ilvl w:val="0"/>
          <w:numId w:val="4"/>
        </w:numPr>
        <w:rPr>
          <w:rFonts w:ascii="Arial" w:eastAsia="Arial" w:hAnsi="Arial" w:cs="Arial"/>
        </w:rPr>
      </w:pPr>
      <w:r>
        <w:rPr>
          <w:rFonts w:ascii="Arial" w:eastAsia="Arial" w:hAnsi="Arial" w:cs="Arial"/>
        </w:rPr>
        <w:t>Writing centres, learning hubs, and academic language and learning practice</w:t>
      </w:r>
    </w:p>
    <w:p w14:paraId="5C0BF64C" w14:textId="77777777" w:rsidR="00066D5C" w:rsidRDefault="00000000">
      <w:pPr>
        <w:numPr>
          <w:ilvl w:val="0"/>
          <w:numId w:val="4"/>
        </w:numPr>
        <w:rPr>
          <w:rFonts w:ascii="Arial" w:eastAsia="Arial" w:hAnsi="Arial" w:cs="Arial"/>
        </w:rPr>
      </w:pPr>
      <w:r>
        <w:rPr>
          <w:rFonts w:ascii="Arial" w:eastAsia="Arial" w:hAnsi="Arial" w:cs="Arial"/>
        </w:rPr>
        <w:t>P</w:t>
      </w:r>
      <w:r>
        <w:rPr>
          <w:rFonts w:ascii="Arial" w:eastAsia="Arial" w:hAnsi="Arial" w:cs="Arial"/>
          <w:color w:val="000000"/>
        </w:rPr>
        <w:t>eer tutoring, writing groups, and collaborative approaches</w:t>
      </w:r>
    </w:p>
    <w:p w14:paraId="51F4BAFE" w14:textId="77777777" w:rsidR="00066D5C" w:rsidRDefault="00000000">
      <w:pPr>
        <w:numPr>
          <w:ilvl w:val="0"/>
          <w:numId w:val="4"/>
        </w:numPr>
        <w:rPr>
          <w:rFonts w:ascii="Arial" w:eastAsia="Arial" w:hAnsi="Arial" w:cs="Arial"/>
        </w:rPr>
      </w:pPr>
      <w:r>
        <w:rPr>
          <w:rFonts w:ascii="Arial" w:eastAsia="Arial" w:hAnsi="Arial" w:cs="Arial"/>
        </w:rPr>
        <w:t>Writing to learn</w:t>
      </w:r>
    </w:p>
    <w:p w14:paraId="34B68601" w14:textId="77777777" w:rsidR="00066D5C" w:rsidRDefault="00000000">
      <w:pPr>
        <w:numPr>
          <w:ilvl w:val="0"/>
          <w:numId w:val="4"/>
        </w:numPr>
        <w:rPr>
          <w:rFonts w:ascii="Arial" w:eastAsia="Arial" w:hAnsi="Arial" w:cs="Arial"/>
        </w:rPr>
      </w:pPr>
      <w:r>
        <w:rPr>
          <w:rFonts w:ascii="Arial" w:eastAsia="Arial" w:hAnsi="Arial" w:cs="Arial"/>
        </w:rPr>
        <w:t>W</w:t>
      </w:r>
      <w:r>
        <w:rPr>
          <w:rFonts w:ascii="Arial" w:eastAsia="Arial" w:hAnsi="Arial" w:cs="Arial"/>
          <w:color w:val="000000"/>
        </w:rPr>
        <w:t xml:space="preserve">riting across the </w:t>
      </w:r>
      <w:r>
        <w:rPr>
          <w:rFonts w:ascii="Arial" w:eastAsia="Arial" w:hAnsi="Arial" w:cs="Arial"/>
        </w:rPr>
        <w:t xml:space="preserve">curriculum, in the disciplines, and </w:t>
      </w:r>
      <w:r>
        <w:rPr>
          <w:rFonts w:ascii="Arial" w:eastAsia="Arial" w:hAnsi="Arial" w:cs="Arial"/>
          <w:color w:val="000000"/>
        </w:rPr>
        <w:t>in the professions</w:t>
      </w:r>
    </w:p>
    <w:p w14:paraId="593FA523" w14:textId="77777777" w:rsidR="00066D5C" w:rsidRDefault="00000000">
      <w:pPr>
        <w:numPr>
          <w:ilvl w:val="0"/>
          <w:numId w:val="4"/>
        </w:numPr>
        <w:rPr>
          <w:rFonts w:ascii="Arial" w:eastAsia="Arial" w:hAnsi="Arial" w:cs="Arial"/>
        </w:rPr>
      </w:pPr>
      <w:r>
        <w:rPr>
          <w:rFonts w:ascii="Arial" w:eastAsia="Arial" w:hAnsi="Arial" w:cs="Arial"/>
        </w:rPr>
        <w:t>W</w:t>
      </w:r>
      <w:r>
        <w:rPr>
          <w:rFonts w:ascii="Arial" w:eastAsia="Arial" w:hAnsi="Arial" w:cs="Arial"/>
          <w:color w:val="000000"/>
        </w:rPr>
        <w:t>riting transitions: secondary to tertiary, undergraduate to postgraduate, academic to workplace</w:t>
      </w:r>
    </w:p>
    <w:p w14:paraId="79AF0235" w14:textId="77777777" w:rsidR="00066D5C" w:rsidRDefault="00066D5C">
      <w:pPr>
        <w:rPr>
          <w:rFonts w:ascii="Arial" w:eastAsia="Arial" w:hAnsi="Arial" w:cs="Arial"/>
          <w:b/>
          <w:bCs/>
        </w:rPr>
      </w:pPr>
    </w:p>
    <w:p w14:paraId="49F4AAEE" w14:textId="77777777" w:rsidR="00066D5C" w:rsidRDefault="00000000">
      <w:pPr>
        <w:rPr>
          <w:rFonts w:ascii="Arial" w:eastAsia="Arial" w:hAnsi="Arial" w:cs="Arial"/>
        </w:rPr>
      </w:pPr>
      <w:r>
        <w:rPr>
          <w:rFonts w:ascii="Arial" w:eastAsia="Arial" w:hAnsi="Arial" w:cs="Arial"/>
          <w:b/>
          <w:bCs/>
        </w:rPr>
        <w:t>General Stream: Writing Research Across Borders</w:t>
      </w:r>
      <w:r>
        <w:rPr>
          <w:rFonts w:ascii="Arial" w:eastAsia="Arial" w:hAnsi="Arial" w:cs="Arial"/>
        </w:rPr>
        <w:t xml:space="preserve"> </w:t>
      </w:r>
    </w:p>
    <w:p w14:paraId="4A4E5A15" w14:textId="77777777" w:rsidR="00066D5C" w:rsidRDefault="00000000">
      <w:pPr>
        <w:rPr>
          <w:rFonts w:ascii="Arial" w:eastAsia="Arial" w:hAnsi="Arial" w:cs="Arial"/>
        </w:rPr>
      </w:pPr>
      <w:r>
        <w:rPr>
          <w:rFonts w:ascii="Arial" w:eastAsia="Arial" w:hAnsi="Arial" w:cs="Arial"/>
        </w:rPr>
        <w:t xml:space="preserve">We also welcome proposals that address writing research more broadly, including work that crosses disciplinary, institutional, linguistic, or geographical boundaries. </w:t>
      </w:r>
    </w:p>
    <w:p w14:paraId="3AE2A781" w14:textId="77777777" w:rsidR="00066D5C" w:rsidRDefault="00066D5C">
      <w:pPr>
        <w:rPr>
          <w:rFonts w:ascii="Arial" w:eastAsia="Arial" w:hAnsi="Arial" w:cs="Arial"/>
        </w:rPr>
      </w:pPr>
    </w:p>
    <w:p w14:paraId="2440CB78" w14:textId="77777777" w:rsidR="00066D5C" w:rsidRDefault="00000000">
      <w:pPr>
        <w:rPr>
          <w:rFonts w:ascii="Arial" w:eastAsia="Arial" w:hAnsi="Arial" w:cs="Arial"/>
          <w:b/>
          <w:bCs/>
          <w:sz w:val="28"/>
          <w:szCs w:val="28"/>
        </w:rPr>
      </w:pPr>
      <w:r>
        <w:rPr>
          <w:rFonts w:ascii="Arial" w:eastAsia="Arial" w:hAnsi="Arial" w:cs="Arial"/>
          <w:b/>
          <w:bCs/>
          <w:sz w:val="28"/>
          <w:szCs w:val="28"/>
        </w:rPr>
        <w:t>About the Conference</w:t>
      </w:r>
    </w:p>
    <w:p w14:paraId="64CA78A2" w14:textId="77777777" w:rsidR="00066D5C" w:rsidRDefault="00000000">
      <w:pPr>
        <w:rPr>
          <w:rFonts w:ascii="Arial" w:eastAsia="Arial" w:hAnsi="Arial" w:cs="Arial"/>
        </w:rPr>
      </w:pPr>
      <w:r>
        <w:rPr>
          <w:rFonts w:ascii="Arial" w:eastAsia="Arial" w:hAnsi="Arial" w:cs="Arial"/>
        </w:rPr>
        <w:t xml:space="preserve">WRAB 2026 will be held on the Camperdown Campus of the University of Sydney, Australia’s first university, situated on the lands of the Gadigal people of the Eora Nation. The conference will feature three keynote addresses (details TBA), an Indigenous Poet Laureate, and cultural connection events including yarning with Indigenous Elders, local tours, and a conference dinner. </w:t>
      </w:r>
    </w:p>
    <w:p w14:paraId="4682C7FA" w14:textId="77777777" w:rsidR="00066D5C" w:rsidRDefault="00066D5C">
      <w:pPr>
        <w:rPr>
          <w:rFonts w:ascii="Arial" w:eastAsia="Arial" w:hAnsi="Arial" w:cs="Arial"/>
        </w:rPr>
      </w:pPr>
    </w:p>
    <w:p w14:paraId="223E9598" w14:textId="77777777" w:rsidR="00066D5C" w:rsidRDefault="00000000">
      <w:pPr>
        <w:rPr>
          <w:rFonts w:ascii="Arial" w:eastAsia="Arial" w:hAnsi="Arial" w:cs="Arial"/>
        </w:rPr>
      </w:pPr>
      <w:r>
        <w:rPr>
          <w:rFonts w:ascii="Arial" w:eastAsia="Arial" w:hAnsi="Arial" w:cs="Arial"/>
        </w:rPr>
        <w:t xml:space="preserve">WRAB 2026 brings together diverse approaches to writing research and scholarship, including learning centres, writing hubs, centres for language teaching, and disciplinary research in Writing Studies, Linguistics, Literary Studies, Didactics, Education Sciences, and Educational Psychology. We welcome presenters from these and similarly diverse fields: researchers, practitioners, teachers (K-12, higher education, and business/industry), graduate students, and administrators working in contexts where writing research matters. We encourage proposals across disciplines and sectors; for example, collaborations between K-12 and tertiary researchers, tertiary educators and industry, and community/civic-based projects. </w:t>
      </w:r>
    </w:p>
    <w:p w14:paraId="55FD9E8A" w14:textId="77777777" w:rsidR="00066D5C" w:rsidRDefault="00066D5C">
      <w:pPr>
        <w:rPr>
          <w:rFonts w:ascii="Arial" w:eastAsia="Arial" w:hAnsi="Arial" w:cs="Arial"/>
        </w:rPr>
      </w:pPr>
    </w:p>
    <w:p w14:paraId="7DB8086B" w14:textId="77777777" w:rsidR="00066D5C" w:rsidRDefault="00000000">
      <w:pPr>
        <w:rPr>
          <w:rFonts w:ascii="Arial" w:eastAsia="Arial" w:hAnsi="Arial" w:cs="Arial"/>
        </w:rPr>
      </w:pPr>
      <w:r>
        <w:rPr>
          <w:rFonts w:ascii="Arial" w:eastAsia="Arial" w:hAnsi="Arial" w:cs="Arial"/>
        </w:rPr>
        <w:t>The conference will run as parallel streams of 90-minute sessions across a variety of formats (described below). While keynotes may be live-streamed, the conference will be primarily an in-person event.</w:t>
      </w:r>
    </w:p>
    <w:p w14:paraId="1827ED7B" w14:textId="77777777" w:rsidR="00066D5C" w:rsidRDefault="00066D5C">
      <w:pPr>
        <w:rPr>
          <w:rFonts w:ascii="Arial" w:eastAsia="Arial" w:hAnsi="Arial" w:cs="Arial"/>
        </w:rPr>
      </w:pPr>
    </w:p>
    <w:p w14:paraId="4ECE3DDB" w14:textId="77777777" w:rsidR="00066D5C" w:rsidRDefault="00000000">
      <w:pPr>
        <w:rPr>
          <w:rFonts w:ascii="Arial" w:eastAsia="Arial" w:hAnsi="Arial" w:cs="Arial"/>
        </w:rPr>
      </w:pPr>
      <w:r>
        <w:rPr>
          <w:rFonts w:ascii="Arial" w:eastAsia="Arial" w:hAnsi="Arial" w:cs="Arial"/>
        </w:rPr>
        <w:t xml:space="preserve">A networking workshop will provide opportunities for </w:t>
      </w:r>
      <w:r>
        <w:rPr>
          <w:rFonts w:ascii="Arial" w:eastAsia="Arial" w:hAnsi="Arial" w:cs="Arial"/>
          <w:b/>
          <w:bCs/>
        </w:rPr>
        <w:t xml:space="preserve">postgraduate student researchers </w:t>
      </w:r>
      <w:r>
        <w:rPr>
          <w:rFonts w:ascii="Arial" w:eastAsia="Arial" w:hAnsi="Arial" w:cs="Arial"/>
        </w:rPr>
        <w:t>to connect with peers and established researchers in the field.</w:t>
      </w:r>
    </w:p>
    <w:p w14:paraId="5927E0E9" w14:textId="77777777" w:rsidR="00066D5C" w:rsidRDefault="00066D5C">
      <w:pPr>
        <w:rPr>
          <w:rFonts w:ascii="Arial" w:eastAsia="Arial" w:hAnsi="Arial" w:cs="Arial"/>
        </w:rPr>
      </w:pPr>
    </w:p>
    <w:p w14:paraId="69EC2920" w14:textId="77777777" w:rsidR="00066D5C" w:rsidRDefault="00000000">
      <w:pPr>
        <w:rPr>
          <w:rFonts w:ascii="Arial" w:eastAsia="Arial" w:hAnsi="Arial" w:cs="Arial"/>
          <w:b/>
          <w:bCs/>
          <w:sz w:val="28"/>
          <w:szCs w:val="28"/>
        </w:rPr>
      </w:pPr>
      <w:r>
        <w:rPr>
          <w:rFonts w:ascii="Arial" w:eastAsia="Arial" w:hAnsi="Arial" w:cs="Arial"/>
          <w:b/>
          <w:bCs/>
          <w:sz w:val="28"/>
          <w:szCs w:val="28"/>
        </w:rPr>
        <w:t>Submission Guidelines</w:t>
      </w:r>
    </w:p>
    <w:p w14:paraId="23F2B2B4" w14:textId="77777777" w:rsidR="00066D5C" w:rsidRDefault="00000000">
      <w:pPr>
        <w:rPr>
          <w:rFonts w:ascii="Arial" w:eastAsia="Arial" w:hAnsi="Arial" w:cs="Arial"/>
        </w:rPr>
      </w:pPr>
      <w:r>
        <w:rPr>
          <w:rFonts w:ascii="Arial" w:eastAsia="Arial" w:hAnsi="Arial" w:cs="Arial"/>
        </w:rPr>
        <w:t>Submitted proposals will be reviewed by volunteer members of ISAWR in association with the Local Conference Organising Committee.</w:t>
      </w:r>
    </w:p>
    <w:p w14:paraId="30BE6375" w14:textId="77777777" w:rsidR="00066D5C" w:rsidRDefault="00066D5C">
      <w:pPr>
        <w:rPr>
          <w:rFonts w:ascii="Arial" w:eastAsia="Arial" w:hAnsi="Arial" w:cs="Arial"/>
          <w:b/>
          <w:bCs/>
        </w:rPr>
      </w:pPr>
    </w:p>
    <w:p w14:paraId="12FA3E99" w14:textId="77777777" w:rsidR="00066D5C" w:rsidRDefault="00000000">
      <w:pPr>
        <w:ind w:left="720"/>
        <w:rPr>
          <w:rFonts w:ascii="Arial" w:eastAsia="Arial" w:hAnsi="Arial" w:cs="Arial"/>
        </w:rPr>
      </w:pPr>
      <w:r>
        <w:rPr>
          <w:rFonts w:ascii="Arial" w:eastAsia="Arial" w:hAnsi="Arial" w:cs="Arial"/>
          <w:b/>
          <w:bCs/>
        </w:rPr>
        <w:t>Deadline:</w:t>
      </w:r>
      <w:r>
        <w:rPr>
          <w:rFonts w:ascii="Arial" w:eastAsia="Arial" w:hAnsi="Arial" w:cs="Arial"/>
        </w:rPr>
        <w:t xml:space="preserve"> Submit proposals by 15 March 2026</w:t>
      </w:r>
    </w:p>
    <w:p w14:paraId="254024D0" w14:textId="77777777" w:rsidR="00066D5C" w:rsidRDefault="00000000">
      <w:pPr>
        <w:ind w:left="720"/>
        <w:rPr>
          <w:rFonts w:ascii="Arial" w:eastAsia="Arial" w:hAnsi="Arial" w:cs="Arial"/>
        </w:rPr>
      </w:pPr>
      <w:r>
        <w:rPr>
          <w:rFonts w:ascii="Arial" w:eastAsia="Arial" w:hAnsi="Arial" w:cs="Arial"/>
          <w:b/>
          <w:bCs/>
        </w:rPr>
        <w:t>Where to submit:</w:t>
      </w:r>
      <w:r>
        <w:rPr>
          <w:rFonts w:ascii="Arial" w:eastAsia="Arial" w:hAnsi="Arial" w:cs="Arial"/>
        </w:rPr>
        <w:t xml:space="preserve"> </w:t>
      </w:r>
      <w:hyperlink r:id="rId8">
        <w:r>
          <w:rPr>
            <w:rFonts w:ascii="Arial" w:eastAsia="Arial" w:hAnsi="Arial" w:cs="Arial"/>
            <w:b/>
            <w:bCs/>
            <w:color w:val="1155CC"/>
            <w:u w:val="single"/>
          </w:rPr>
          <w:t>www.wrab2026.com</w:t>
        </w:r>
      </w:hyperlink>
      <w:r>
        <w:rPr>
          <w:rFonts w:ascii="Arial" w:eastAsia="Arial" w:hAnsi="Arial" w:cs="Arial"/>
          <w:b/>
          <w:bCs/>
        </w:rPr>
        <w:t xml:space="preserve"> </w:t>
      </w:r>
    </w:p>
    <w:p w14:paraId="28D10001" w14:textId="77777777" w:rsidR="00066D5C" w:rsidRDefault="00000000">
      <w:pPr>
        <w:ind w:left="720"/>
        <w:rPr>
          <w:rFonts w:ascii="Arial" w:eastAsia="Arial" w:hAnsi="Arial" w:cs="Arial"/>
        </w:rPr>
      </w:pPr>
      <w:r>
        <w:rPr>
          <w:rFonts w:ascii="Arial" w:eastAsia="Arial" w:hAnsi="Arial" w:cs="Arial"/>
          <w:b/>
          <w:bCs/>
        </w:rPr>
        <w:t>Proposal formats:</w:t>
      </w:r>
    </w:p>
    <w:p w14:paraId="74F9E1EE" w14:textId="77777777" w:rsidR="00066D5C" w:rsidRDefault="00000000">
      <w:pPr>
        <w:ind w:left="720"/>
        <w:rPr>
          <w:rFonts w:ascii="Arial" w:eastAsia="Arial" w:hAnsi="Arial" w:cs="Arial"/>
        </w:rPr>
      </w:pPr>
      <w:r>
        <w:rPr>
          <w:rFonts w:ascii="Arial" w:eastAsia="Arial" w:hAnsi="Arial" w:cs="Arial"/>
        </w:rPr>
        <w:t xml:space="preserve">Papers </w:t>
      </w:r>
    </w:p>
    <w:p w14:paraId="315D50D0" w14:textId="77777777" w:rsidR="00066D5C" w:rsidRDefault="00000000">
      <w:pPr>
        <w:ind w:left="720" w:firstLine="720"/>
        <w:rPr>
          <w:rFonts w:ascii="Arial" w:eastAsia="Arial" w:hAnsi="Arial" w:cs="Arial"/>
        </w:rPr>
      </w:pPr>
      <w:r>
        <w:rPr>
          <w:rFonts w:ascii="Arial" w:eastAsia="Arial" w:hAnsi="Arial" w:cs="Arial"/>
        </w:rPr>
        <w:t>Individual (20-minute presentations)</w:t>
      </w:r>
    </w:p>
    <w:p w14:paraId="63F1FDDF" w14:textId="77777777" w:rsidR="00066D5C" w:rsidRDefault="00000000">
      <w:pPr>
        <w:ind w:left="720" w:firstLine="720"/>
        <w:rPr>
          <w:rFonts w:ascii="Arial" w:eastAsia="Arial" w:hAnsi="Arial" w:cs="Arial"/>
        </w:rPr>
      </w:pPr>
      <w:r>
        <w:rPr>
          <w:rFonts w:ascii="Arial" w:eastAsia="Arial" w:hAnsi="Arial" w:cs="Arial"/>
        </w:rPr>
        <w:t>Panels (up to four 20-minute presentations)</w:t>
      </w:r>
    </w:p>
    <w:p w14:paraId="55A54AB2" w14:textId="77777777" w:rsidR="00066D5C" w:rsidRDefault="00000000">
      <w:pPr>
        <w:ind w:left="720"/>
        <w:rPr>
          <w:rFonts w:ascii="Arial" w:eastAsia="Arial" w:hAnsi="Arial" w:cs="Arial"/>
        </w:rPr>
      </w:pPr>
      <w:r>
        <w:rPr>
          <w:rFonts w:ascii="Arial" w:eastAsia="Arial" w:hAnsi="Arial" w:cs="Arial"/>
        </w:rPr>
        <w:t>Symposia (up to five 10-minute presentations, followed by discussion</w:t>
      </w:r>
    </w:p>
    <w:p w14:paraId="412F8414" w14:textId="77777777" w:rsidR="00066D5C" w:rsidRDefault="00000000">
      <w:pPr>
        <w:ind w:left="720"/>
        <w:rPr>
          <w:rFonts w:ascii="Arial" w:eastAsia="Arial" w:hAnsi="Arial" w:cs="Arial"/>
        </w:rPr>
      </w:pPr>
      <w:r>
        <w:rPr>
          <w:rFonts w:ascii="Arial" w:eastAsia="Arial" w:hAnsi="Arial" w:cs="Arial"/>
        </w:rPr>
        <w:t>Roundtables (90-minute discussion or workshop-focused sessions)</w:t>
      </w:r>
    </w:p>
    <w:p w14:paraId="56EABEF1" w14:textId="77777777" w:rsidR="00066D5C" w:rsidRDefault="00000000">
      <w:pPr>
        <w:ind w:left="720"/>
        <w:rPr>
          <w:rFonts w:ascii="Arial" w:eastAsia="Arial" w:hAnsi="Arial" w:cs="Arial"/>
        </w:rPr>
      </w:pPr>
      <w:r>
        <w:rPr>
          <w:rFonts w:ascii="Arial" w:eastAsia="Arial" w:hAnsi="Arial" w:cs="Arial"/>
        </w:rPr>
        <w:t>Poster Session (to coincide with welcome reception)</w:t>
      </w:r>
    </w:p>
    <w:p w14:paraId="06AC0EED" w14:textId="77777777" w:rsidR="00066D5C" w:rsidRDefault="00066D5C">
      <w:pPr>
        <w:ind w:left="720"/>
        <w:rPr>
          <w:rFonts w:ascii="Arial" w:eastAsia="Arial" w:hAnsi="Arial" w:cs="Arial"/>
        </w:rPr>
      </w:pPr>
    </w:p>
    <w:p w14:paraId="11C558BE" w14:textId="77777777" w:rsidR="00066D5C" w:rsidRDefault="00000000">
      <w:pPr>
        <w:ind w:left="720"/>
        <w:rPr>
          <w:rFonts w:ascii="Arial" w:eastAsia="Arial" w:hAnsi="Arial" w:cs="Arial"/>
        </w:rPr>
      </w:pPr>
      <w:r>
        <w:rPr>
          <w:rFonts w:ascii="Arial" w:eastAsia="Arial" w:hAnsi="Arial" w:cs="Arial"/>
          <w:b/>
          <w:bCs/>
        </w:rPr>
        <w:t>Requirements:</w:t>
      </w:r>
    </w:p>
    <w:p w14:paraId="5AEA1ECE" w14:textId="77777777" w:rsidR="00066D5C" w:rsidRDefault="00000000">
      <w:pPr>
        <w:ind w:left="720"/>
        <w:rPr>
          <w:rFonts w:ascii="Arial" w:eastAsia="Arial" w:hAnsi="Arial" w:cs="Arial"/>
        </w:rPr>
      </w:pPr>
      <w:r>
        <w:rPr>
          <w:rFonts w:ascii="Arial" w:eastAsia="Arial" w:hAnsi="Arial" w:cs="Arial"/>
        </w:rPr>
        <w:t>Abstract: 200 words maximum, including references, if required.</w:t>
      </w:r>
    </w:p>
    <w:p w14:paraId="62AC9E00" w14:textId="77777777" w:rsidR="00066D5C" w:rsidRDefault="00000000">
      <w:pPr>
        <w:ind w:left="720"/>
        <w:rPr>
          <w:rFonts w:ascii="Arial" w:eastAsia="Arial" w:hAnsi="Arial" w:cs="Arial"/>
        </w:rPr>
      </w:pPr>
      <w:r>
        <w:rPr>
          <w:rFonts w:ascii="Arial" w:eastAsia="Arial" w:hAnsi="Arial" w:cs="Arial"/>
        </w:rPr>
        <w:t xml:space="preserve">Presenter bio: 50 words maximum per presenter, for the conference program </w:t>
      </w:r>
    </w:p>
    <w:p w14:paraId="133645B0" w14:textId="77777777" w:rsidR="00066D5C" w:rsidRDefault="00000000">
      <w:pPr>
        <w:ind w:left="720" w:firstLine="720"/>
        <w:rPr>
          <w:rFonts w:ascii="Arial" w:eastAsia="Arial" w:hAnsi="Arial" w:cs="Arial"/>
        </w:rPr>
      </w:pPr>
      <w:r>
        <w:rPr>
          <w:rFonts w:ascii="Arial" w:eastAsia="Arial" w:hAnsi="Arial" w:cs="Arial"/>
        </w:rPr>
        <w:t>Note: bios will be redacted for the anonymous review process.</w:t>
      </w:r>
    </w:p>
    <w:p w14:paraId="241C22B1" w14:textId="77777777" w:rsidR="00066D5C" w:rsidRDefault="00066D5C">
      <w:pPr>
        <w:ind w:left="720"/>
        <w:rPr>
          <w:rFonts w:ascii="Arial" w:eastAsia="Arial" w:hAnsi="Arial" w:cs="Arial"/>
        </w:rPr>
      </w:pPr>
    </w:p>
    <w:p w14:paraId="666BAB27" w14:textId="77777777" w:rsidR="00066D5C" w:rsidRDefault="00000000">
      <w:pPr>
        <w:ind w:left="720"/>
        <w:rPr>
          <w:rFonts w:ascii="Arial" w:eastAsia="Arial" w:hAnsi="Arial" w:cs="Arial"/>
        </w:rPr>
      </w:pPr>
      <w:r>
        <w:rPr>
          <w:rFonts w:ascii="Arial" w:eastAsia="Arial" w:hAnsi="Arial" w:cs="Arial"/>
        </w:rPr>
        <w:t>For panel, symposia, and roundtable proposals, please include an additional 100-word rationale outlining the session format and identifying the session convenor. (All identifying information will be redacted for anonymous review.)</w:t>
      </w:r>
    </w:p>
    <w:p w14:paraId="4B91E29D" w14:textId="77777777" w:rsidR="00066D5C" w:rsidRDefault="00066D5C">
      <w:pPr>
        <w:ind w:left="720"/>
        <w:rPr>
          <w:rFonts w:ascii="Arial" w:eastAsia="Arial" w:hAnsi="Arial" w:cs="Arial"/>
        </w:rPr>
      </w:pPr>
    </w:p>
    <w:p w14:paraId="36AF8D02" w14:textId="77777777" w:rsidR="00066D5C" w:rsidRDefault="00000000">
      <w:pPr>
        <w:ind w:left="720"/>
        <w:rPr>
          <w:rFonts w:ascii="Arial" w:eastAsia="Arial" w:hAnsi="Arial" w:cs="Arial"/>
          <w:b/>
          <w:bCs/>
        </w:rPr>
      </w:pPr>
      <w:r>
        <w:rPr>
          <w:rFonts w:ascii="Arial" w:eastAsia="Arial" w:hAnsi="Arial" w:cs="Arial"/>
          <w:b/>
          <w:bCs/>
        </w:rPr>
        <w:t>Selection Criteria:</w:t>
      </w:r>
    </w:p>
    <w:p w14:paraId="07C155C1" w14:textId="77777777" w:rsidR="00066D5C" w:rsidRDefault="00000000">
      <w:pPr>
        <w:ind w:left="720"/>
        <w:rPr>
          <w:rFonts w:ascii="Arial" w:eastAsia="Arial" w:hAnsi="Arial" w:cs="Arial"/>
        </w:rPr>
      </w:pPr>
      <w:r>
        <w:rPr>
          <w:rFonts w:ascii="Arial" w:eastAsia="Arial" w:hAnsi="Arial" w:cs="Arial"/>
        </w:rPr>
        <w:t xml:space="preserve">ISAWR strongly encourages multilingual participation. Proposals will be accepted in English, Mandarin, Cantonese, Arabic, and Australian Indigenous languages (the </w:t>
      </w:r>
      <w:proofErr w:type="gramStart"/>
      <w:r>
        <w:rPr>
          <w:rFonts w:ascii="Arial" w:eastAsia="Arial" w:hAnsi="Arial" w:cs="Arial"/>
        </w:rPr>
        <w:t>most commonly spoken</w:t>
      </w:r>
      <w:proofErr w:type="gramEnd"/>
      <w:r>
        <w:rPr>
          <w:rFonts w:ascii="Arial" w:eastAsia="Arial" w:hAnsi="Arial" w:cs="Arial"/>
        </w:rPr>
        <w:t xml:space="preserve"> languages in Australia). They will be evaluated based on </w:t>
      </w:r>
      <w:proofErr w:type="gramStart"/>
      <w:r>
        <w:rPr>
          <w:rFonts w:ascii="Arial" w:eastAsia="Arial" w:hAnsi="Arial" w:cs="Arial"/>
        </w:rPr>
        <w:t>their</w:t>
      </w:r>
      <w:proofErr w:type="gramEnd"/>
      <w:r>
        <w:rPr>
          <w:rFonts w:ascii="Arial" w:eastAsia="Arial" w:hAnsi="Arial" w:cs="Arial"/>
        </w:rPr>
        <w:t xml:space="preserve"> </w:t>
      </w:r>
    </w:p>
    <w:p w14:paraId="1F03804B" w14:textId="77777777" w:rsidR="00066D5C" w:rsidRDefault="00000000">
      <w:pPr>
        <w:numPr>
          <w:ilvl w:val="0"/>
          <w:numId w:val="1"/>
        </w:numPr>
        <w:rPr>
          <w:rFonts w:ascii="Arial" w:eastAsia="Arial" w:hAnsi="Arial" w:cs="Arial"/>
        </w:rPr>
      </w:pPr>
      <w:r>
        <w:rPr>
          <w:rFonts w:ascii="Arial" w:eastAsia="Arial" w:hAnsi="Arial" w:cs="Arial"/>
        </w:rPr>
        <w:t xml:space="preserve">level of adherence to conference themes, </w:t>
      </w:r>
    </w:p>
    <w:p w14:paraId="645D730B" w14:textId="77777777" w:rsidR="00066D5C" w:rsidRDefault="00000000">
      <w:pPr>
        <w:numPr>
          <w:ilvl w:val="0"/>
          <w:numId w:val="1"/>
        </w:numPr>
        <w:rPr>
          <w:rFonts w:ascii="Arial" w:eastAsia="Arial" w:hAnsi="Arial" w:cs="Arial"/>
        </w:rPr>
      </w:pPr>
      <w:r>
        <w:rPr>
          <w:rFonts w:ascii="Arial" w:eastAsia="Arial" w:hAnsi="Arial" w:cs="Arial"/>
        </w:rPr>
        <w:t xml:space="preserve">appropriateness for a multi/transnational audience, and </w:t>
      </w:r>
    </w:p>
    <w:p w14:paraId="701356DE" w14:textId="77777777" w:rsidR="00066D5C" w:rsidRDefault="00000000">
      <w:pPr>
        <w:numPr>
          <w:ilvl w:val="0"/>
          <w:numId w:val="1"/>
        </w:numPr>
        <w:rPr>
          <w:rFonts w:ascii="Arial" w:eastAsia="Arial" w:hAnsi="Arial" w:cs="Arial"/>
        </w:rPr>
      </w:pPr>
      <w:r>
        <w:rPr>
          <w:rFonts w:ascii="Arial" w:eastAsia="Arial" w:hAnsi="Arial" w:cs="Arial"/>
        </w:rPr>
        <w:t xml:space="preserve">a strong, sustained focus on writing research. </w:t>
      </w:r>
    </w:p>
    <w:p w14:paraId="30F875BD" w14:textId="77777777" w:rsidR="00066D5C" w:rsidRDefault="00000000">
      <w:pPr>
        <w:ind w:left="720"/>
        <w:rPr>
          <w:rFonts w:ascii="Arial" w:eastAsia="Arial" w:hAnsi="Arial" w:cs="Arial"/>
        </w:rPr>
      </w:pPr>
      <w:r>
        <w:rPr>
          <w:rFonts w:ascii="Arial" w:eastAsia="Arial" w:hAnsi="Arial" w:cs="Arial"/>
        </w:rPr>
        <w:lastRenderedPageBreak/>
        <w:t>Proposals addressing multimodal writing research, cross-disciplinary writing research, multilingual writing research, and research on/from historically marginalised groups are especially welcome.</w:t>
      </w:r>
    </w:p>
    <w:p w14:paraId="46C9AD80" w14:textId="77777777" w:rsidR="00066D5C" w:rsidRDefault="00000000">
      <w:pPr>
        <w:rPr>
          <w:rFonts w:ascii="Arial" w:eastAsia="Arial" w:hAnsi="Arial" w:cs="Arial"/>
        </w:rPr>
      </w:pPr>
      <w:r>
        <w:rPr>
          <w:rFonts w:ascii="Arial" w:eastAsia="Arial" w:hAnsi="Arial" w:cs="Arial"/>
        </w:rPr>
        <w:t> </w:t>
      </w:r>
    </w:p>
    <w:p w14:paraId="4211D92C" w14:textId="77777777" w:rsidR="00066D5C" w:rsidRDefault="00000000">
      <w:pPr>
        <w:rPr>
          <w:rFonts w:ascii="Arial" w:eastAsia="Arial" w:hAnsi="Arial" w:cs="Arial"/>
        </w:rPr>
      </w:pPr>
      <w:r>
        <w:rPr>
          <w:rFonts w:ascii="Arial" w:eastAsia="Arial" w:hAnsi="Arial" w:cs="Arial"/>
        </w:rPr>
        <w:t xml:space="preserve">Applicants will be notified of decisions by early May 2026. Registration details will be provided upon acceptance. In addition to student discounts, </w:t>
      </w:r>
      <w:proofErr w:type="gramStart"/>
      <w:r>
        <w:rPr>
          <w:rFonts w:ascii="Arial" w:eastAsia="Arial" w:hAnsi="Arial" w:cs="Arial"/>
        </w:rPr>
        <w:t>WRAB  offers</w:t>
      </w:r>
      <w:proofErr w:type="gramEnd"/>
      <w:r>
        <w:rPr>
          <w:rFonts w:ascii="Arial" w:eastAsia="Arial" w:hAnsi="Arial" w:cs="Arial"/>
        </w:rPr>
        <w:t xml:space="preserve"> reduced registration rates for presenters from under-resourced countries who can demonstrate financial need. </w:t>
      </w:r>
    </w:p>
    <w:p w14:paraId="41C54660" w14:textId="77777777" w:rsidR="00066D5C" w:rsidRDefault="00066D5C">
      <w:pPr>
        <w:rPr>
          <w:rFonts w:ascii="Arial" w:eastAsia="Arial" w:hAnsi="Arial" w:cs="Arial"/>
        </w:rPr>
      </w:pPr>
    </w:p>
    <w:p w14:paraId="48299F1A" w14:textId="77777777" w:rsidR="00066D5C" w:rsidRDefault="00000000">
      <w:pPr>
        <w:rPr>
          <w:rFonts w:ascii="Arial" w:eastAsia="Arial" w:hAnsi="Arial" w:cs="Arial"/>
          <w:b/>
          <w:bCs/>
          <w:sz w:val="28"/>
          <w:szCs w:val="28"/>
        </w:rPr>
      </w:pPr>
      <w:r>
        <w:rPr>
          <w:rFonts w:ascii="Arial" w:eastAsia="Arial" w:hAnsi="Arial" w:cs="Arial"/>
          <w:b/>
          <w:bCs/>
          <w:sz w:val="28"/>
          <w:szCs w:val="28"/>
        </w:rPr>
        <w:t>Contact</w:t>
      </w:r>
    </w:p>
    <w:p w14:paraId="7FC97432" w14:textId="77777777" w:rsidR="00066D5C" w:rsidRDefault="00000000">
      <w:pPr>
        <w:rPr>
          <w:rFonts w:ascii="Arial" w:eastAsia="Arial" w:hAnsi="Arial" w:cs="Arial"/>
        </w:rPr>
      </w:pPr>
      <w:r>
        <w:rPr>
          <w:rFonts w:ascii="Arial" w:eastAsia="Arial" w:hAnsi="Arial" w:cs="Arial"/>
        </w:rPr>
        <w:t xml:space="preserve">For enquiries, please contact: </w:t>
      </w:r>
      <w:hyperlink r:id="rId9">
        <w:r>
          <w:rPr>
            <w:rFonts w:ascii="Arial" w:eastAsia="Arial" w:hAnsi="Arial" w:cs="Arial"/>
            <w:color w:val="1155CC"/>
            <w:u w:val="single"/>
          </w:rPr>
          <w:t>contact@wrab2026.com</w:t>
        </w:r>
      </w:hyperlink>
      <w:r>
        <w:rPr>
          <w:rFonts w:ascii="Arial" w:eastAsia="Arial" w:hAnsi="Arial" w:cs="Arial"/>
        </w:rPr>
        <w:t xml:space="preserve"> </w:t>
      </w:r>
    </w:p>
    <w:p w14:paraId="6E7B9481" w14:textId="77777777" w:rsidR="00066D5C" w:rsidRDefault="00066D5C">
      <w:pPr>
        <w:rPr>
          <w:rFonts w:ascii="Arial" w:eastAsia="Arial" w:hAnsi="Arial" w:cs="Arial"/>
        </w:rPr>
      </w:pPr>
    </w:p>
    <w:p w14:paraId="15FCF9C0" w14:textId="77777777" w:rsidR="00066D5C" w:rsidRDefault="00000000">
      <w:pPr>
        <w:rPr>
          <w:rFonts w:ascii="Arial" w:eastAsia="Arial" w:hAnsi="Arial" w:cs="Arial"/>
        </w:rPr>
      </w:pPr>
      <w:r>
        <w:rPr>
          <w:rFonts w:ascii="Arial" w:eastAsia="Arial" w:hAnsi="Arial" w:cs="Arial"/>
        </w:rPr>
        <w:t xml:space="preserve">The local conference committee is led by Drs Benjamin Miller (University of Sydney), Beck Wise (University of Queensland), and Susan Thomas (University of Sydney), with support from Cana </w:t>
      </w:r>
      <w:proofErr w:type="spellStart"/>
      <w:r>
        <w:rPr>
          <w:rFonts w:ascii="Arial" w:eastAsia="Arial" w:hAnsi="Arial" w:cs="Arial"/>
        </w:rPr>
        <w:t>Nongkhlaw</w:t>
      </w:r>
      <w:proofErr w:type="spellEnd"/>
      <w:r>
        <w:rPr>
          <w:rFonts w:ascii="Arial" w:eastAsia="Arial" w:hAnsi="Arial" w:cs="Arial"/>
        </w:rPr>
        <w:t xml:space="preserve"> (University of Sydney).</w:t>
      </w:r>
    </w:p>
    <w:p w14:paraId="2505E8FC" w14:textId="77777777" w:rsidR="00066D5C" w:rsidRDefault="00066D5C">
      <w:pPr>
        <w:rPr>
          <w:rFonts w:ascii="Arial" w:eastAsia="Arial" w:hAnsi="Arial" w:cs="Arial"/>
        </w:rPr>
      </w:pPr>
    </w:p>
    <w:p w14:paraId="6EC7C1CB" w14:textId="77777777" w:rsidR="00066D5C" w:rsidRDefault="00000000">
      <w:pPr>
        <w:rPr>
          <w:rFonts w:ascii="Arial" w:eastAsia="Arial" w:hAnsi="Arial" w:cs="Arial"/>
        </w:rPr>
      </w:pPr>
      <w:r>
        <w:rPr>
          <w:rFonts w:ascii="Arial" w:eastAsia="Arial" w:hAnsi="Arial" w:cs="Arial"/>
        </w:rPr>
        <w:t>We look forward to welcoming you to Sydney!</w:t>
      </w:r>
    </w:p>
    <w:p w14:paraId="00627612" w14:textId="77777777" w:rsidR="00066D5C" w:rsidRDefault="00066D5C">
      <w:pPr>
        <w:rPr>
          <w:rFonts w:ascii="Arial" w:eastAsia="Arial" w:hAnsi="Arial" w:cs="Arial"/>
        </w:rPr>
      </w:pPr>
    </w:p>
    <w:p w14:paraId="5C58449D" w14:textId="77777777" w:rsidR="00066D5C" w:rsidRDefault="00066D5C">
      <w:pPr>
        <w:rPr>
          <w:rFonts w:ascii="Arial" w:eastAsia="Arial" w:hAnsi="Arial" w:cs="Arial"/>
        </w:rPr>
      </w:pPr>
    </w:p>
    <w:sectPr w:rsidR="00066D5C">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1ABC969-DCC0-534B-8755-5FE5AD835FCE}"/>
  </w:font>
  <w:font w:name="Courier New">
    <w:panose1 w:val="02070309020205020404"/>
    <w:charset w:val="00"/>
    <w:family w:val="modern"/>
    <w:pitch w:val="fixed"/>
    <w:sig w:usb0="E0002EFF" w:usb1="C0007843" w:usb2="00000009" w:usb3="00000000" w:csb0="000001FF" w:csb1="00000000"/>
    <w:embedRegular r:id="rId2" w:fontKey="{D309801C-8AF8-C146-A050-555E5F0B5059}"/>
  </w:font>
  <w:font w:name="Times New Roman">
    <w:panose1 w:val="02020603050405020304"/>
    <w:charset w:val="00"/>
    <w:family w:val="roman"/>
    <w:pitch w:val="variable"/>
    <w:sig w:usb0="E0002EFF" w:usb1="C000785B" w:usb2="00000009" w:usb3="00000000" w:csb0="000001FF" w:csb1="00000000"/>
    <w:embedRegular r:id="rId3" w:fontKey="{8C9E47A7-BEBB-6740-A7B3-9BE43666EF39}"/>
    <w:embedBold r:id="rId4" w:fontKey="{0918C3C5-E076-294B-A6D3-42BB64714BFA}"/>
    <w:embedItalic r:id="rId5" w:fontKey="{2769D874-8891-6944-88C8-BA2BE9C3BA56}"/>
  </w:font>
  <w:font w:name="Aptos">
    <w:panose1 w:val="020B0004020202020204"/>
    <w:charset w:val="00"/>
    <w:family w:val="swiss"/>
    <w:pitch w:val="variable"/>
    <w:sig w:usb0="20000287" w:usb1="00000003" w:usb2="00000000" w:usb3="00000000" w:csb0="0000019F" w:csb1="00000000"/>
    <w:embedRegular r:id="rId6" w:fontKey="{AE51F3C0-840B-284D-86E4-7E724F79D121}"/>
    <w:embedBold r:id="rId7" w:fontKey="{AAE6FC9C-BFAE-BA41-A235-60522FC4C8E7}"/>
    <w:embedItalic r:id="rId8" w:fontKey="{CB919C84-368E-A14A-9ADF-DA5A31E37850}"/>
  </w:font>
  <w:font w:name="Play">
    <w:charset w:val="00"/>
    <w:family w:val="auto"/>
    <w:pitch w:val="default"/>
    <w:embedRegular r:id="rId9" w:fontKey="{303953A9-6972-8646-A649-E92CEB16994B}"/>
  </w:font>
  <w:font w:name="Aptos Display">
    <w:panose1 w:val="020B0004020202020204"/>
    <w:charset w:val="00"/>
    <w:family w:val="swiss"/>
    <w:pitch w:val="variable"/>
    <w:sig w:usb0="20000287" w:usb1="00000003" w:usb2="00000000" w:usb3="00000000" w:csb0="0000019F" w:csb1="00000000"/>
    <w:embedRegular r:id="rId10" w:fontKey="{4B6C64EE-1BDB-8746-BF8C-14AE39156B39}"/>
  </w:font>
  <w:font w:name="Arial">
    <w:panose1 w:val="020B0604020202020204"/>
    <w:charset w:val="00"/>
    <w:family w:val="swiss"/>
    <w:pitch w:val="variable"/>
    <w:sig w:usb0="E0002EFF" w:usb1="C000785B" w:usb2="00000009" w:usb3="00000000" w:csb0="000001FF" w:csb1="00000000"/>
    <w:embedRegular r:id="rId11" w:fontKey="{678D2083-AE68-C746-81F0-CCDA39DC14F4}"/>
    <w:embedBold r:id="rId12" w:fontKey="{AA9F6279-5873-E841-B9E6-73D88C14ADF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B1F4F"/>
    <w:multiLevelType w:val="multilevel"/>
    <w:tmpl w:val="A934D2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B7D1DE2"/>
    <w:multiLevelType w:val="multilevel"/>
    <w:tmpl w:val="373C84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147651"/>
    <w:multiLevelType w:val="multilevel"/>
    <w:tmpl w:val="C46024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3317FE8"/>
    <w:multiLevelType w:val="multilevel"/>
    <w:tmpl w:val="6DF003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70677B61"/>
    <w:multiLevelType w:val="multilevel"/>
    <w:tmpl w:val="1BAE47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22669872">
    <w:abstractNumId w:val="3"/>
  </w:num>
  <w:num w:numId="2" w16cid:durableId="1125540176">
    <w:abstractNumId w:val="0"/>
  </w:num>
  <w:num w:numId="3" w16cid:durableId="101725726">
    <w:abstractNumId w:val="1"/>
  </w:num>
  <w:num w:numId="4" w16cid:durableId="1211460946">
    <w:abstractNumId w:val="4"/>
  </w:num>
  <w:num w:numId="5" w16cid:durableId="14109299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D5C"/>
    <w:rsid w:val="00066D5C"/>
    <w:rsid w:val="000E19BB"/>
    <w:rsid w:val="007402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3F135497"/>
  <w15:docId w15:val="{2172CD42-1EFA-4E47-B903-DC6DE44CF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FE3C8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E3C8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E3C8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FE3C8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E3C8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E3C8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E3C8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E3C8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E3C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3C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3C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3C87"/>
    <w:rPr>
      <w:rFonts w:eastAsiaTheme="majorEastAsia" w:cstheme="majorBidi"/>
      <w:color w:val="272727" w:themeColor="text1" w:themeTint="D8"/>
    </w:rPr>
  </w:style>
  <w:style w:type="character" w:customStyle="1" w:styleId="TitleChar">
    <w:name w:val="Title Char"/>
    <w:basedOn w:val="DefaultParagraphFont"/>
    <w:link w:val="Title"/>
    <w:uiPriority w:val="10"/>
    <w:rsid w:val="00FE3C87"/>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FE3C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E3C8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E3C87"/>
    <w:rPr>
      <w:i/>
      <w:iCs/>
      <w:color w:val="404040" w:themeColor="text1" w:themeTint="BF"/>
    </w:rPr>
  </w:style>
  <w:style w:type="paragraph" w:styleId="ListParagraph">
    <w:name w:val="List Paragraph"/>
    <w:basedOn w:val="Normal"/>
    <w:uiPriority w:val="34"/>
    <w:qFormat/>
    <w:rsid w:val="00FE3C87"/>
    <w:pPr>
      <w:ind w:left="720"/>
      <w:contextualSpacing/>
    </w:pPr>
  </w:style>
  <w:style w:type="character" w:styleId="IntenseEmphasis">
    <w:name w:val="Intense Emphasis"/>
    <w:basedOn w:val="DefaultParagraphFont"/>
    <w:uiPriority w:val="21"/>
    <w:qFormat/>
    <w:rsid w:val="00FE3C87"/>
    <w:rPr>
      <w:i/>
      <w:iCs/>
      <w:color w:val="0F4761" w:themeColor="accent1" w:themeShade="BF"/>
    </w:rPr>
  </w:style>
  <w:style w:type="paragraph" w:styleId="IntenseQuote">
    <w:name w:val="Intense Quote"/>
    <w:basedOn w:val="Normal"/>
    <w:next w:val="Normal"/>
    <w:link w:val="IntenseQuoteChar"/>
    <w:uiPriority w:val="30"/>
    <w:qFormat/>
    <w:rsid w:val="00FE3C8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E3C87"/>
    <w:rPr>
      <w:i/>
      <w:iCs/>
      <w:color w:val="0F4761" w:themeColor="accent1" w:themeShade="BF"/>
    </w:rPr>
  </w:style>
  <w:style w:type="character" w:styleId="IntenseReference">
    <w:name w:val="Intense Reference"/>
    <w:basedOn w:val="DefaultParagraphFont"/>
    <w:uiPriority w:val="32"/>
    <w:qFormat/>
    <w:rsid w:val="00FE3C87"/>
    <w:rPr>
      <w:b/>
      <w:bCs/>
      <w:smallCaps/>
      <w:color w:val="0F4761" w:themeColor="accent1" w:themeShade="BF"/>
      <w:spacing w:val="5"/>
    </w:rPr>
  </w:style>
  <w:style w:type="paragraph" w:styleId="NormalWeb">
    <w:name w:val="Normal (Web)"/>
    <w:basedOn w:val="Normal"/>
    <w:uiPriority w:val="99"/>
    <w:semiHidden/>
    <w:unhideWhenUsed/>
    <w:rsid w:val="00FE3C87"/>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FE3C87"/>
    <w:rPr>
      <w:b/>
      <w:bCs/>
    </w:rPr>
  </w:style>
  <w:style w:type="character" w:styleId="Emphasis">
    <w:name w:val="Emphasis"/>
    <w:basedOn w:val="DefaultParagraphFont"/>
    <w:uiPriority w:val="20"/>
    <w:qFormat/>
    <w:rsid w:val="00FE3C87"/>
    <w:rPr>
      <w:i/>
      <w:iCs/>
    </w:rPr>
  </w:style>
  <w:style w:type="table" w:styleId="TableGrid">
    <w:name w:val="Table Grid"/>
    <w:basedOn w:val="TableNormal"/>
    <w:uiPriority w:val="39"/>
    <w:rsid w:val="005B2E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27A47"/>
    <w:rPr>
      <w:sz w:val="16"/>
      <w:szCs w:val="16"/>
    </w:rPr>
  </w:style>
  <w:style w:type="paragraph" w:styleId="CommentText">
    <w:name w:val="annotation text"/>
    <w:basedOn w:val="Normal"/>
    <w:link w:val="CommentTextChar"/>
    <w:uiPriority w:val="99"/>
    <w:semiHidden/>
    <w:unhideWhenUsed/>
    <w:rsid w:val="00227A47"/>
    <w:rPr>
      <w:sz w:val="20"/>
      <w:szCs w:val="20"/>
    </w:rPr>
  </w:style>
  <w:style w:type="character" w:customStyle="1" w:styleId="CommentTextChar">
    <w:name w:val="Comment Text Char"/>
    <w:basedOn w:val="DefaultParagraphFont"/>
    <w:link w:val="CommentText"/>
    <w:uiPriority w:val="99"/>
    <w:semiHidden/>
    <w:rsid w:val="00227A47"/>
    <w:rPr>
      <w:sz w:val="20"/>
      <w:szCs w:val="20"/>
    </w:rPr>
  </w:style>
  <w:style w:type="paragraph" w:styleId="CommentSubject">
    <w:name w:val="annotation subject"/>
    <w:basedOn w:val="CommentText"/>
    <w:next w:val="CommentText"/>
    <w:link w:val="CommentSubjectChar"/>
    <w:uiPriority w:val="99"/>
    <w:semiHidden/>
    <w:unhideWhenUsed/>
    <w:rsid w:val="00227A47"/>
    <w:rPr>
      <w:b/>
      <w:bCs/>
    </w:rPr>
  </w:style>
  <w:style w:type="character" w:customStyle="1" w:styleId="CommentSubjectChar">
    <w:name w:val="Comment Subject Char"/>
    <w:basedOn w:val="CommentTextChar"/>
    <w:link w:val="CommentSubject"/>
    <w:uiPriority w:val="99"/>
    <w:semiHidden/>
    <w:rsid w:val="00227A47"/>
    <w:rPr>
      <w:b/>
      <w:bCs/>
      <w:sz w:val="20"/>
      <w:szCs w:val="20"/>
    </w:rPr>
  </w:style>
  <w:style w:type="paragraph" w:styleId="Subtitle">
    <w:name w:val="Subtitle"/>
    <w:basedOn w:val="Normal"/>
    <w:next w:val="Normal"/>
    <w:link w:val="SubtitleChar"/>
    <w:uiPriority w:val="11"/>
    <w:qFormat/>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wrab2026.com" TargetMode="External"/><Relationship Id="rId3" Type="http://schemas.openxmlformats.org/officeDocument/2006/relationships/styles" Target="styles.xml"/><Relationship Id="rId7" Type="http://schemas.openxmlformats.org/officeDocument/2006/relationships/hyperlink" Target="http://www.wrab2026.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ontact@wrab2026.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s+8svWQFPpY8i+vWlBPppM7D2Q==">CgMxLjA4AHIhMThKUEhyS2x1MGpFdmRDNnpUeTlSTklTWE1WeHRESmFa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996</Words>
  <Characters>6439</Characters>
  <Application>Microsoft Office Word</Application>
  <DocSecurity>0</DocSecurity>
  <Lines>160</Lines>
  <Paragraphs>88</Paragraphs>
  <ScaleCrop>false</ScaleCrop>
  <Company/>
  <LinksUpToDate>false</LinksUpToDate>
  <CharactersWithSpaces>7347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Benjamin Miller</dc:creator>
  <cp:lastModifiedBy>Benjamin Miller</cp:lastModifiedBy>
  <cp:revision>2</cp:revision>
  <dcterms:created xsi:type="dcterms:W3CDTF">2026-01-14T21:23:00Z</dcterms:created>
  <dcterms:modified xsi:type="dcterms:W3CDTF">2026-01-14T21:23:00Z</dcterms:modified>
</cp:coreProperties>
</file>